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drawing>
          <wp:inline distT="0" distB="0" distL="0" distR="0">
            <wp:extent cx="1466850" cy="295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466850" cy="295275"/>
                    </a:xfrm>
                    <a:prstGeom prst="rect">
                      <a:avLst/>
                    </a:prstGeom>
                  </pic:spPr>
                </pic:pic>
              </a:graphicData>
            </a:graphic>
          </wp:inline>
        </w:drawing>
      </w:r>
    </w:p>
    <w:p>
      <w:pPr>
        <w:pBdr>
          <w:bottom w:val="single" w:color="D9F800" w:sz="24" w:space="1"/>
        </w:pBdr>
        <w:spacing w:after="80"/>
      </w:pPr>
      <w:r>
        <w:t xml:space="preserve"> </w:t>
      </w:r>
    </w:p>
    <w:p>
      <w:pPr>
        <w:spacing w:after="80"/>
      </w:pPr>
      <w:r>
        <w:rPr>
          <w:rFonts w:ascii="Arial" w:cs="Arial" w:eastAsia="Arial" w:hAnsi="Arial"/>
          <w:b/>
          <w:bCs/>
          <w:color w:val="1F34D2"/>
          <w:sz w:val="16"/>
          <w:szCs w:val="16"/>
        </w:rPr>
        <w:t xml:space="preserve">SHIELD OPERATIONAL BRIEF  •  DEFENSE INDUSTRIAL BASE</w:t>
      </w:r>
    </w:p>
    <w:p>
      <w:pPr>
        <w:spacing w:after="80" w:before="0"/>
      </w:pPr>
      <w:r>
        <w:rPr>
          <w:rFonts w:ascii="Arial" w:cs="Arial" w:eastAsia="Arial" w:hAnsi="Arial"/>
          <w:b/>
          <w:bCs/>
          <w:color w:val="1A1A2E"/>
          <w:sz w:val="40"/>
          <w:szCs w:val="40"/>
        </w:rPr>
        <w:t xml:space="preserve">A Ransomware Actor and a Nation-State. Same Network.</w:t>
      </w:r>
    </w:p>
    <w:p>
      <w:pPr>
        <w:spacing w:after="240"/>
      </w:pPr>
      <w:r>
        <w:rPr>
          <w:rFonts w:ascii="Arial" w:cs="Arial" w:eastAsia="Arial" w:hAnsi="Arial"/>
          <w:i/>
          <w:iCs/>
          <w:color w:val="4A4A5E"/>
          <w:sz w:val="22"/>
          <w:szCs w:val="22"/>
        </w:rPr>
        <w:t xml:space="preserve">A defense industrial base technology company was breached by a ransomware actor. During remediation, forensic evidence of a separate nation-state actor was identified in the same environment. Greg Akers deployed Shield on both sides of the firewall, disrupted both adversaries, and has continued threat hunting against the same deployment for nearly two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EXPERT</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Greg Akers, Founder, Greg Akers Consulting LLC. Former SVP and CTO, Advanced Security Research and Government Programs, Cisco Systems. CISO and Advisor, Dispersive Holdings.</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CLIENT</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Defense industrial base technology company (anonymized for security reasons)</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THREAT</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Active ransomware encryption in progress. Forensic evidence of a nation-state actor also present in the environment.</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PRODUCT DEPLOYED</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Three Shield OnPremise instances: outside the firewall, inside the firewall, and at an internal forensics lab</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STEADY STATE</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Up to 10,000 blocks per day per shield. Up to 500,000 during active exploitation attempts.</w:t>
            </w:r>
          </w:p>
        </w:tc>
      </w:tr>
      <w:tr>
        <w:tc>
          <w:tcPr>
            <w:tcW w:type="dxa" w:w="2400"/>
            <w:tcBorders>
              <w:top w:val="single" w:color="D8DAE5" w:sz="2"/>
              <w:left w:val="single" w:color="D8DAE5" w:sz="2"/>
              <w:bottom w:val="single" w:color="D8DAE5" w:sz="2"/>
              <w:right w:val="single" w:color="D8DAE5" w:sz="2"/>
            </w:tcBorders>
            <w:shd w:fill="F4F5FA" w:val="clear"/>
            <w:tcMar>
              <w:top w:type="dxa" w:w="100"/>
              <w:left w:type="dxa" w:w="160"/>
              <w:bottom w:type="dxa" w:w="100"/>
              <w:right w:type="dxa" w:w="160"/>
            </w:tcMar>
          </w:tcPr>
          <w:p>
            <w:r>
              <w:rPr>
                <w:rFonts w:ascii="Arial" w:cs="Arial" w:eastAsia="Arial" w:hAnsi="Arial"/>
                <w:b/>
                <w:bCs/>
                <w:color w:val="1F34D2"/>
                <w:sz w:val="14"/>
                <w:szCs w:val="14"/>
              </w:rPr>
              <w:t xml:space="preserve">TIME IN SERVICE</w:t>
            </w:r>
          </w:p>
        </w:tc>
        <w:tc>
          <w:tcPr>
            <w:tcW w:type="dxa" w:w="6960"/>
            <w:tcBorders>
              <w:top w:val="single" w:color="D8DAE5" w:sz="2"/>
              <w:left w:val="single" w:color="D8DAE5" w:sz="2"/>
              <w:bottom w:val="single" w:color="D8DAE5" w:sz="2"/>
              <w:right w:val="single" w:color="D8DAE5" w:sz="2"/>
            </w:tcBorders>
            <w:shd w:fill="FFFFFF" w:val="clear"/>
            <w:tcMar>
              <w:top w:type="dxa" w:w="100"/>
              <w:left w:type="dxa" w:w="160"/>
              <w:bottom w:type="dxa" w:w="100"/>
              <w:right w:type="dxa" w:w="160"/>
            </w:tcMar>
          </w:tcPr>
          <w:p>
            <w:r>
              <w:rPr>
                <w:rFonts w:ascii="Arial" w:cs="Arial" w:eastAsia="Arial" w:hAnsi="Arial"/>
                <w:b w:val="false"/>
                <w:bCs w:val="false"/>
                <w:color w:val="1A1A2E"/>
                <w:sz w:val="18"/>
                <w:szCs w:val="18"/>
              </w:rPr>
              <w:t xml:space="preserve">Approaching two years. Akers conducts continuous threat hunting against the same deployment.</w:t>
            </w:r>
          </w:p>
        </w:tc>
      </w:tr>
    </w:tbl>
    <w:p>
      <w:pPr>
        <w:spacing w:after="160"/>
      </w:pPr>
      <w:r>
        <w:t xml:space="preserve"> </w:t>
      </w:r>
    </w:p>
    <w:p>
      <w:pPr>
        <w:spacing w:after="120" w:before="240"/>
      </w:pPr>
      <w:r>
        <w:rPr>
          <w:rFonts w:ascii="Arial" w:cs="Arial" w:eastAsia="Arial" w:hAnsi="Arial"/>
          <w:b/>
          <w:bCs/>
          <w:color w:val="1F34D2"/>
          <w:sz w:val="28"/>
          <w:szCs w:val="28"/>
        </w:rPr>
        <w:t xml:space="preserve">THE SITUATION FEDERAL CISOS RECOGNIZE</w:t>
      </w:r>
    </w:p>
    <w:p>
      <w:pPr>
        <w:spacing w:after="100" w:line="280"/>
      </w:pPr>
      <w:r>
        <w:rPr>
          <w:rFonts w:ascii="Arial" w:cs="Arial" w:eastAsia="Arial" w:hAnsi="Arial"/>
          <w:color w:val="1A1A2E"/>
          <w:sz w:val="20"/>
          <w:szCs w:val="20"/>
        </w:rPr>
        <w:t xml:space="preserve">The client was a defense industrial base technology company supporting sensitive operations. The workforce was technically sophisticated, with engineers building their own virtual machines and moving data across laptops as part of normal workflow. A perimeter firewall misconfiguration had left the environment exposed to the public internet for approximately one year. The firewall itself was suspected of being compromised. A ransomware actor exploited that condition, established a foothold, and launched the encryption process from the CEO’s workstation.</w:t>
      </w:r>
    </w:p>
    <w:p>
      <w:pPr>
        <w:spacing w:after="100" w:line="280"/>
      </w:pPr>
      <w:r>
        <w:rPr>
          <w:rFonts w:ascii="Arial" w:cs="Arial" w:eastAsia="Arial" w:hAnsi="Arial"/>
          <w:color w:val="1A1A2E"/>
          <w:sz w:val="20"/>
          <w:szCs w:val="20"/>
        </w:rPr>
        <w:t xml:space="preserve">What contained the immediate damage was an internal IT team that recognized the activity quickly and disconnected the organization from the internet. The encryption process halted because the actor lost command and control. The exposure was bounded by physical disconnection, but it was not eliminated. Greg Akers was retained within hours.</w:t>
      </w:r>
    </w:p>
    <w:p>
      <w:pPr>
        <w:spacing w:after="100" w:line="280"/>
      </w:pPr>
      <w:r>
        <w:rPr>
          <w:rFonts w:ascii="Arial" w:cs="Arial" w:eastAsia="Arial" w:hAnsi="Arial"/>
          <w:color w:val="1A1A2E"/>
          <w:sz w:val="20"/>
          <w:szCs w:val="20"/>
        </w:rPr>
        <w:t xml:space="preserve">Akers maintains deployable Shield hardware in his vehicle for exactly this category of engagement. The units were on site and operational within hours of the call. Shield OnPremise units were placed inline on both sides of the perimeter firewall. The command-and-control infrastructure the ransomware actor required to resume encryption was identified at the reputation layer. As the actor attempted reconnection from compromised infrastructure across multiple jurisdictions, Shield blocked each attempt at network speed. The organization was able to safely restore connectivity and proceed with remediation.</w:t>
      </w:r>
    </w:p>
    <w:p>
      <w:pPr>
        <w:spacing w:after="100" w:line="280"/>
      </w:pPr>
      <w:r>
        <w:rPr>
          <w:rFonts w:ascii="Arial" w:cs="Arial" w:eastAsia="Arial" w:hAnsi="Arial"/>
          <w:color w:val="1A1A2E"/>
          <w:sz w:val="20"/>
          <w:szCs w:val="20"/>
        </w:rPr>
        <w:t xml:space="preserve">Ransomware was the visible event. It was not the only adversary in the environment. Federal CISOs and defense-aligned security leaders understand the distinction between the two threat profiles in operational terms. Ransomware threatens operational continuity. Nation-state activity threatens mission integrity, sensitive data, persistence, and long-term strategic exposure. Both were present. The response had to account for both.</w:t>
      </w:r>
    </w:p>
    <w:p>
      <w:pPr>
        <w:pBdr>
          <w:left w:val="single" w:color="D9F800" w:sz="24" w:space="12"/>
        </w:pBdr>
        <w:spacing w:after="200" w:before="160"/>
        <w:ind w:left="240"/>
      </w:pPr>
      <w:r>
        <w:rPr>
          <w:rFonts w:ascii="Arial" w:cs="Arial" w:eastAsia="Arial" w:hAnsi="Arial"/>
          <w:i/>
          <w:iCs/>
          <w:color w:val="1A1A2E"/>
          <w:sz w:val="22"/>
          <w:szCs w:val="22"/>
        </w:rPr>
        <w:t xml:space="preserve">“We deployed Shield and cut off the command-and-control access from the ransomware actor.”</w:t>
      </w:r>
      <w:r>
        <w:rPr>
          <w:sz w:val="20"/>
          <w:szCs w:val="20"/>
        </w:rPr>
        <w:t xml:space="preserve">    </w:t>
      </w:r>
      <w:r>
        <w:rPr>
          <w:rFonts w:ascii="Arial" w:cs="Arial" w:eastAsia="Arial" w:hAnsi="Arial"/>
          <w:b/>
          <w:bCs/>
          <w:color w:val="4A4A5E"/>
          <w:sz w:val="16"/>
          <w:szCs w:val="16"/>
        </w:rPr>
        <w:t xml:space="preserve">Greg Akers, Founder, Greg Akers Consulting LLC</w:t>
      </w:r>
    </w:p>
    <w:p>
      <w:pPr>
        <w:spacing w:after="120" w:before="240"/>
      </w:pPr>
      <w:r>
        <w:rPr>
          <w:rFonts w:ascii="Arial" w:cs="Arial" w:eastAsia="Arial" w:hAnsi="Arial"/>
          <w:b/>
          <w:bCs/>
          <w:color w:val="1F34D2"/>
          <w:sz w:val="28"/>
          <w:szCs w:val="28"/>
        </w:rPr>
        <w:t xml:space="preserve">THE FIREWALL HAD BECOME A QUESTION MARK</w:t>
      </w:r>
    </w:p>
    <w:p>
      <w:pPr>
        <w:spacing w:after="100" w:line="280"/>
      </w:pPr>
      <w:r>
        <w:rPr>
          <w:rFonts w:ascii="Arial" w:cs="Arial" w:eastAsia="Arial" w:hAnsi="Arial"/>
          <w:color w:val="1A1A2E"/>
          <w:sz w:val="20"/>
          <w:szCs w:val="20"/>
        </w:rPr>
        <w:t xml:space="preserve">Akers’s deployment pattern for this environment is what he describes as sandwiching the firewall. One Shield OnPremise sits outside the perimeter firewall, between the firewall and the internet. A second Shield OnPremise sits inside, between the firewall and the internal network. Both shields evaluate every connection bi-directionally against the Global Threat Engine, blocking inbound reconnaissance and outbound command-and-control attempts independent of the firewall’s configuration. A third Shield OnPremise was deployed at an internal forensics laboratory, where the workflow handles particularly sensitive material, to constrain lateral movement.</w:t>
      </w:r>
    </w:p>
    <w:p>
      <w:pPr>
        <w:spacing w:after="100" w:line="280"/>
      </w:pPr>
      <w:r>
        <w:rPr>
          <w:rFonts w:ascii="Arial" w:cs="Arial" w:eastAsia="Arial" w:hAnsi="Arial"/>
          <w:color w:val="1A1A2E"/>
          <w:sz w:val="20"/>
          <w:szCs w:val="20"/>
        </w:rPr>
        <w:t xml:space="preserve">The architecture matters because the firewall itself was the failure point. When a single device is the only defense between the network and the internet, a single misconfiguration or a single compromise produces the entire exposure. Layering Shield around the firewall ensures that a problem at any one layer does not collapse the full security posture. Shield enforces reputation regardless of the firewall’s state. The client retained their existing firewall. The defense surrounding it changed.</w:t>
      </w:r>
    </w:p>
    <w:p>
      <w:pPr>
        <w:spacing w:after="120" w:before="240"/>
      </w:pPr>
      <w:r>
        <w:rPr>
          <w:rFonts w:ascii="Arial" w:cs="Arial" w:eastAsia="Arial" w:hAnsi="Arial"/>
          <w:b/>
          <w:bCs/>
          <w:color w:val="1F34D2"/>
          <w:sz w:val="28"/>
          <w:szCs w:val="28"/>
        </w:rPr>
        <w:t xml:space="preserve">WHY COMMAND-AND-CONTROL WAS THE CENTER OF GRAVITY</w:t>
      </w:r>
    </w:p>
    <w:p>
      <w:pPr>
        <w:spacing w:after="100" w:line="280"/>
      </w:pPr>
      <w:r>
        <w:rPr>
          <w:rFonts w:ascii="Arial" w:cs="Arial" w:eastAsia="Arial" w:hAnsi="Arial"/>
          <w:color w:val="1A1A2E"/>
          <w:sz w:val="20"/>
          <w:szCs w:val="20"/>
        </w:rPr>
        <w:t xml:space="preserve">The ransomware actor required command-and-control access to resume the encryption process. Pulling the internet connection interrupted that access. It did not eliminate the actor’s intent to regain it. After Shield was deployed, the actor continued attempting reconnection from globally distributed infrastructure throughout the engagement. The operational record reflects that pressure: steady-state volume reaches 10,000 blocks per day per shield. During active exploitation, that volume can reach 500,000 per day per shield.</w:t>
      </w:r>
    </w:p>
    <w:p>
      <w:pPr>
        <w:spacing w:after="100" w:line="280"/>
      </w:pPr>
      <w:r>
        <w:rPr>
          <w:rFonts w:ascii="Arial" w:cs="Arial" w:eastAsia="Arial" w:hAnsi="Arial"/>
          <w:color w:val="1A1A2E"/>
          <w:sz w:val="20"/>
          <w:szCs w:val="20"/>
        </w:rPr>
        <w:t xml:space="preserve">Those numbers are not dashboard metrics. They represent the difference between an adversary regaining the position required to finish the encryption attempt and a defender holding the line while the network is rebuilt. Shield maintained that position autonomously, at network speed, for as long as the actor remained interested in returning.</w:t>
      </w:r>
    </w:p>
    <w:p>
      <w:pPr>
        <w:spacing w:after="100" w:line="280"/>
      </w:pPr>
      <w:r>
        <w:rPr>
          <w:rFonts w:ascii="Arial" w:cs="Arial" w:eastAsia="Arial" w:hAnsi="Arial"/>
          <w:color w:val="1A1A2E"/>
          <w:sz w:val="20"/>
          <w:szCs w:val="20"/>
        </w:rPr>
        <w:t xml:space="preserve">The ransomware response was the engagement Akers was retained for. The discovery that came during cleanup was not. While remediating the ransomware footprint, Akers’s team identified forensic evidence of a separate nation-state actor that had been resident in the environment prior to the ransomware incident. The artifacts existed on internal servers. The persistence had predated the encryption attempt. After the network was secured with the layered Shield deployment, that nation-state activity was no longer observed. Two adversaries removed by the same architecture in the same engagement.</w:t>
      </w:r>
    </w:p>
    <w:p>
      <w:pPr>
        <w:spacing w:after="120" w:before="240"/>
      </w:pPr>
      <w:r>
        <w:rPr>
          <w:rFonts w:ascii="Arial" w:cs="Arial" w:eastAsia="Arial" w:hAnsi="Arial"/>
          <w:b/>
          <w:bCs/>
          <w:color w:val="1F34D2"/>
          <w:sz w:val="28"/>
          <w:szCs w:val="28"/>
        </w:rPr>
        <w:t xml:space="preserve">RESULTS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1F34D2" w:sz="2"/>
              <w:left w:val="single" w:color="FFFFFF" w:sz="8"/>
              <w:bottom w:val="single" w:color="1F34D2" w:sz="2"/>
              <w:right w:val="single" w:color="FFFFFF" w:sz="8"/>
            </w:tcBorders>
            <w:shd w:fill="1F34D2" w:val="clear"/>
            <w:tcMar>
              <w:top w:type="dxa" w:w="200"/>
              <w:left w:type="dxa" w:w="160"/>
              <w:bottom w:type="dxa" w:w="200"/>
              <w:right w:type="dxa" w:w="160"/>
            </w:tcMar>
          </w:tcPr>
          <w:p>
            <w:pPr>
              <w:spacing w:after="60"/>
              <w:jc w:val="center"/>
            </w:pPr>
            <w:r>
              <w:rPr>
                <w:rFonts w:ascii="Arial" w:cs="Arial" w:eastAsia="Arial" w:hAnsi="Arial"/>
                <w:b/>
                <w:bCs/>
                <w:color w:val="D9F800"/>
                <w:sz w:val="36"/>
                <w:szCs w:val="36"/>
              </w:rPr>
              <w:t xml:space="preserve">10,000</w:t>
            </w:r>
          </w:p>
          <w:p>
            <w:pPr>
              <w:jc w:val="center"/>
            </w:pPr>
            <w:r>
              <w:rPr>
                <w:rFonts w:ascii="Arial" w:cs="Arial" w:eastAsia="Arial" w:hAnsi="Arial"/>
                <w:color w:val="FFFFFF"/>
                <w:sz w:val="16"/>
                <w:szCs w:val="16"/>
              </w:rPr>
              <w:t xml:space="preserve">blocks per shield per day in steady state</w:t>
            </w:r>
          </w:p>
        </w:tc>
        <w:tc>
          <w:tcPr>
            <w:tcW w:type="dxa" w:w="3120"/>
            <w:tcBorders>
              <w:top w:val="single" w:color="1F34D2" w:sz="2"/>
              <w:left w:val="single" w:color="FFFFFF" w:sz="8"/>
              <w:bottom w:val="single" w:color="1F34D2" w:sz="2"/>
              <w:right w:val="single" w:color="FFFFFF" w:sz="8"/>
            </w:tcBorders>
            <w:shd w:fill="1F34D2" w:val="clear"/>
            <w:tcMar>
              <w:top w:type="dxa" w:w="200"/>
              <w:left w:type="dxa" w:w="160"/>
              <w:bottom w:type="dxa" w:w="200"/>
              <w:right w:type="dxa" w:w="160"/>
            </w:tcMar>
          </w:tcPr>
          <w:p>
            <w:pPr>
              <w:spacing w:after="60"/>
              <w:jc w:val="center"/>
            </w:pPr>
            <w:r>
              <w:rPr>
                <w:rFonts w:ascii="Arial" w:cs="Arial" w:eastAsia="Arial" w:hAnsi="Arial"/>
                <w:b/>
                <w:bCs/>
                <w:color w:val="D9F800"/>
                <w:sz w:val="36"/>
                <w:szCs w:val="36"/>
              </w:rPr>
              <w:t xml:space="preserve">500K</w:t>
            </w:r>
          </w:p>
          <w:p>
            <w:pPr>
              <w:jc w:val="center"/>
            </w:pPr>
            <w:r>
              <w:rPr>
                <w:rFonts w:ascii="Arial" w:cs="Arial" w:eastAsia="Arial" w:hAnsi="Arial"/>
                <w:color w:val="FFFFFF"/>
                <w:sz w:val="16"/>
                <w:szCs w:val="16"/>
              </w:rPr>
              <w:t xml:space="preserve">blocks per shield per day during active exploitation</w:t>
            </w:r>
          </w:p>
        </w:tc>
        <w:tc>
          <w:tcPr>
            <w:tcW w:type="dxa" w:w="3120"/>
            <w:tcBorders>
              <w:top w:val="single" w:color="1F34D2" w:sz="2"/>
              <w:left w:val="single" w:color="FFFFFF" w:sz="8"/>
              <w:bottom w:val="single" w:color="1F34D2" w:sz="2"/>
              <w:right w:val="single" w:color="FFFFFF" w:sz="8"/>
            </w:tcBorders>
            <w:shd w:fill="1F34D2" w:val="clear"/>
            <w:tcMar>
              <w:top w:type="dxa" w:w="200"/>
              <w:left w:type="dxa" w:w="160"/>
              <w:bottom w:type="dxa" w:w="200"/>
              <w:right w:type="dxa" w:w="160"/>
            </w:tcMar>
          </w:tcPr>
          <w:p>
            <w:pPr>
              <w:spacing w:after="60"/>
              <w:jc w:val="center"/>
            </w:pPr>
            <w:r>
              <w:rPr>
                <w:rFonts w:ascii="Arial" w:cs="Arial" w:eastAsia="Arial" w:hAnsi="Arial"/>
                <w:b/>
                <w:bCs/>
                <w:color w:val="D9F800"/>
                <w:sz w:val="36"/>
                <w:szCs w:val="36"/>
              </w:rPr>
              <w:t xml:space="preserve">2 years</w:t>
            </w:r>
          </w:p>
          <w:p>
            <w:pPr>
              <w:jc w:val="center"/>
            </w:pPr>
            <w:r>
              <w:rPr>
                <w:rFonts w:ascii="Arial" w:cs="Arial" w:eastAsia="Arial" w:hAnsi="Arial"/>
                <w:color w:val="FFFFFF"/>
                <w:sz w:val="16"/>
                <w:szCs w:val="16"/>
              </w:rPr>
              <w:t xml:space="preserve">in service. Threat hunted daily.</w:t>
            </w:r>
          </w:p>
        </w:tc>
      </w:tr>
    </w:tbl>
    <w:p>
      <w:pPr>
        <w:spacing w:after="120"/>
      </w:pPr>
      <w:r>
        <w:t xml:space="preserve"> </w:t>
      </w:r>
    </w:p>
    <w:p>
      <w:pPr>
        <w:spacing w:after="120" w:before="240"/>
      </w:pPr>
      <w:r>
        <w:rPr>
          <w:rFonts w:ascii="Arial" w:cs="Arial" w:eastAsia="Arial" w:hAnsi="Arial"/>
          <w:b/>
          <w:bCs/>
          <w:color w:val="1F34D2"/>
          <w:sz w:val="28"/>
          <w:szCs w:val="28"/>
        </w:rPr>
        <w:t xml:space="preserve">FROM ALERT-SPEED SECURITY TO NETWORK-SPEED DEFENSE</w:t>
      </w:r>
    </w:p>
    <w:p>
      <w:pPr>
        <w:spacing w:after="100" w:line="280"/>
      </w:pPr>
      <w:r>
        <w:rPr>
          <w:rFonts w:ascii="Arial" w:cs="Arial" w:eastAsia="Arial" w:hAnsi="Arial"/>
          <w:color w:val="1A1A2E"/>
          <w:sz w:val="20"/>
          <w:szCs w:val="20"/>
        </w:rPr>
        <w:t xml:space="preserve">Most security tools report what occurred after the fact. Intrusion Shield is engineered to act in real time. Shield applies curated threat intelligence and reputation-based decisioning to traffic as it traverses the network, determining whether communication should be allowed, questioned, or blocked. That is the operational distinction between alert-speed security and network-speed defense. For an environment with an active ransomware actor on one side and a nation-state actor on the other, network-speed enforcement is the only response model capable of containing both threats simultaneously.</w:t>
      </w:r>
    </w:p>
    <w:p>
      <w:pPr>
        <w:pBdr>
          <w:left w:val="single" w:color="D9F800" w:sz="24" w:space="12"/>
        </w:pBdr>
        <w:spacing w:after="200" w:before="160"/>
        <w:ind w:left="240"/>
      </w:pPr>
      <w:r>
        <w:rPr>
          <w:rFonts w:ascii="Arial" w:cs="Arial" w:eastAsia="Arial" w:hAnsi="Arial"/>
          <w:i/>
          <w:iCs/>
          <w:color w:val="1A1A2E"/>
          <w:sz w:val="22"/>
          <w:szCs w:val="22"/>
        </w:rPr>
        <w:t xml:space="preserve">“The way Intrusion curates threat intelligence is not like anyone else in the industry. That whole process, the curation and the reputational assertions that come with it, is unique. That is part of the secret sauce.”</w:t>
      </w:r>
      <w:r>
        <w:rPr>
          <w:sz w:val="20"/>
          <w:szCs w:val="20"/>
        </w:rPr>
        <w:t xml:space="preserve">    </w:t>
      </w:r>
      <w:r>
        <w:rPr>
          <w:rFonts w:ascii="Arial" w:cs="Arial" w:eastAsia="Arial" w:hAnsi="Arial"/>
          <w:b/>
          <w:bCs/>
          <w:color w:val="4A4A5E"/>
          <w:sz w:val="16"/>
          <w:szCs w:val="16"/>
        </w:rPr>
        <w:t xml:space="preserve">Greg Akers, Founder, Greg Akers Consulting LLC</w:t>
      </w:r>
    </w:p>
    <w:p>
      <w:pPr>
        <w:spacing w:after="80" w:before="180"/>
      </w:pPr>
      <w:r>
        <w:rPr>
          <w:rFonts w:ascii="Arial" w:cs="Arial" w:eastAsia="Arial" w:hAnsi="Arial"/>
          <w:b/>
          <w:bCs/>
          <w:color w:val="1A1A2E"/>
          <w:sz w:val="22"/>
          <w:szCs w:val="22"/>
        </w:rPr>
        <w:t xml:space="preserve">Rapid inline deployment during an active incident</w:t>
      </w:r>
    </w:p>
    <w:p>
      <w:pPr>
        <w:spacing w:after="100" w:line="280"/>
      </w:pPr>
      <w:r>
        <w:rPr>
          <w:rFonts w:ascii="Arial" w:cs="Arial" w:eastAsia="Arial" w:hAnsi="Arial"/>
          <w:color w:val="1A1A2E"/>
          <w:sz w:val="20"/>
          <w:szCs w:val="20"/>
        </w:rPr>
        <w:t xml:space="preserve">Shield OnPremise can be deployed inline during an active incident with minimal disruption to existing infrastructure. In this engagement, Shield was operational on both sides of the perimeter firewall within hours of the initial call. For ransomware response, that timeline is decisive. The window between containment and re-execution is measured in hours, not days.</w:t>
      </w:r>
    </w:p>
    <w:p>
      <w:pPr>
        <w:spacing w:after="80" w:before="180"/>
      </w:pPr>
      <w:r>
        <w:rPr>
          <w:rFonts w:ascii="Arial" w:cs="Arial" w:eastAsia="Arial" w:hAnsi="Arial"/>
          <w:b/>
          <w:bCs/>
          <w:color w:val="1A1A2E"/>
          <w:sz w:val="22"/>
          <w:szCs w:val="22"/>
        </w:rPr>
        <w:t xml:space="preserve">Visibility that supports daily threat hunting</w:t>
      </w:r>
    </w:p>
    <w:p>
      <w:pPr>
        <w:spacing w:after="100" w:line="280"/>
      </w:pPr>
      <w:r>
        <w:rPr>
          <w:rFonts w:ascii="Arial" w:cs="Arial" w:eastAsia="Arial" w:hAnsi="Arial"/>
          <w:color w:val="1A1A2E"/>
          <w:sz w:val="20"/>
          <w:szCs w:val="20"/>
        </w:rPr>
        <w:t xml:space="preserve">Akers conducts continuous threat hunting against this client’s Shield deployments. Block logs surface attempted reconnections, source infrastructure, and new external endpoints attempting to engage the network. Reputational decisioning often flags infrastructure before broader public threat intelligence has confirmed it as malicious, providing earlier signal than a signature-based control would deliver.</w:t>
      </w:r>
    </w:p>
    <w:p>
      <w:pPr>
        <w:pBdr>
          <w:left w:val="single" w:color="D9F800" w:sz="24" w:space="12"/>
        </w:pBdr>
        <w:spacing w:after="200" w:before="160"/>
        <w:ind w:left="240"/>
      </w:pPr>
      <w:r>
        <w:rPr>
          <w:rFonts w:ascii="Arial" w:cs="Arial" w:eastAsia="Arial" w:hAnsi="Arial"/>
          <w:i/>
          <w:iCs/>
          <w:color w:val="1A1A2E"/>
          <w:sz w:val="22"/>
          <w:szCs w:val="22"/>
        </w:rPr>
        <w:t xml:space="preserve">“Forensic evidence showed a nation-state actor was also in the environment. After Shield was deployed, that activity was not seen continuing.”</w:t>
      </w:r>
      <w:r>
        <w:rPr>
          <w:sz w:val="20"/>
          <w:szCs w:val="20"/>
        </w:rPr>
        <w:t xml:space="preserve">    </w:t>
      </w:r>
      <w:r>
        <w:rPr>
          <w:rFonts w:ascii="Arial" w:cs="Arial" w:eastAsia="Arial" w:hAnsi="Arial"/>
          <w:b/>
          <w:bCs/>
          <w:color w:val="4A4A5E"/>
          <w:sz w:val="16"/>
          <w:szCs w:val="16"/>
        </w:rPr>
        <w:t xml:space="preserve">Greg Akers, Founder, Greg Akers Consulting LLC</w:t>
      </w:r>
    </w:p>
    <w:p>
      <w:pPr>
        <w:spacing w:after="120" w:before="240"/>
      </w:pPr>
      <w:r>
        <w:rPr>
          <w:rFonts w:ascii="Arial" w:cs="Arial" w:eastAsia="Arial" w:hAnsi="Arial"/>
          <w:b/>
          <w:bCs/>
          <w:color w:val="1F34D2"/>
          <w:sz w:val="28"/>
          <w:szCs w:val="28"/>
        </w:rPr>
        <w:t xml:space="preserve">THE TAKEAWAY</w:t>
      </w:r>
    </w:p>
    <w:p>
      <w:pPr>
        <w:spacing w:after="100" w:line="280"/>
      </w:pPr>
      <w:r>
        <w:rPr>
          <w:rFonts w:ascii="Arial" w:cs="Arial" w:eastAsia="Arial" w:hAnsi="Arial"/>
          <w:color w:val="1A1A2E"/>
          <w:sz w:val="20"/>
          <w:szCs w:val="20"/>
        </w:rPr>
        <w:t xml:space="preserve">The most consequential moment in a ransomware response is rarely the first encryption event. It is what comes next. Can the actor reconnect. Can someone else already be inside. Can the network be trusted. Can the organization rebuild without reinfection. For this engagement, those questions had operational answers because the architecture was built to provide them.</w:t>
      </w:r>
    </w:p>
    <w:p>
      <w:pPr>
        <w:spacing w:after="100" w:line="280"/>
      </w:pPr>
      <w:r>
        <w:rPr>
          <w:rFonts w:ascii="Arial" w:cs="Arial" w:eastAsia="Arial" w:hAnsi="Arial"/>
          <w:color w:val="1A1A2E"/>
          <w:sz w:val="20"/>
          <w:szCs w:val="20"/>
        </w:rPr>
        <w:t xml:space="preserve">Shield helped cut off ransomware command-and-control access. Shield helped protect the environment while the network was rebuilt. Shield supports the daily threat hunting that has continued for nearly two years. And after forensic evidence of nation-state presence was identified, that activity was no longer observed. Sophisticated adversaries do not wait for manual response. Federal defenders cannot afford to either.</w:t>
      </w:r>
    </w:p>
    <w:p>
      <w:pPr>
        <w:pBdr>
          <w:top w:val="single" w:color="D9F800" w:sz="12"/>
          <w:bottom w:val="single" w:color="D9F800" w:sz="12"/>
          <w:left w:val="single" w:color="D9F800" w:sz="12"/>
          <w:right w:val="single" w:color="D9F800" w:sz="12"/>
        </w:pBdr>
        <w:shd w:fill="1A1A2E" w:val="clear"/>
        <w:spacing w:after="240" w:before="240"/>
        <w:ind w:left="240" w:right="240"/>
      </w:pPr>
      <w:r>
        <w:rPr>
          <w:rFonts w:ascii="Arial" w:cs="Arial" w:eastAsia="Arial" w:hAnsi="Arial"/>
          <w:b/>
          <w:bCs/>
          <w:color w:val="D9F800"/>
          <w:sz w:val="22"/>
          <w:szCs w:val="22"/>
        </w:rPr>
        <w:t xml:space="preserve">See what your network is communicating with.</w:t>
      </w:r>
      <w:r>
        <w:rPr>
          <w:sz w:val="22"/>
          <w:szCs w:val="22"/>
        </w:rPr>
        <w:t xml:space="preserve">  </w:t>
      </w:r>
      <w:r>
        <w:rPr>
          <w:rFonts w:ascii="Arial" w:cs="Arial" w:eastAsia="Arial" w:hAnsi="Arial"/>
          <w:color w:val="FFFFFF"/>
          <w:sz w:val="18"/>
          <w:szCs w:val="18"/>
        </w:rPr>
        <w:t xml:space="preserve">Sophisticated threats do not wait for manual response. Intrusion Shield helps organizations move from alert-speed security to network-speed defense, with reputation enforcement applied inline behind any firewall.</w:t>
      </w:r>
    </w:p>
    <w:p>
      <w:pPr>
        <w:pBdr>
          <w:top w:val="single" w:color="D8DAE5" w:sz="6" w:space="8"/>
        </w:pBdr>
        <w:spacing w:after="0" w:before="280"/>
        <w:jc w:val="center"/>
      </w:pPr>
      <w:r>
        <w:rPr>
          <w:rFonts w:ascii="Arial" w:cs="Arial" w:eastAsia="Arial" w:hAnsi="Arial"/>
          <w:color w:val="4A4A5E"/>
          <w:sz w:val="14"/>
          <w:szCs w:val="14"/>
        </w:rPr>
        <w:t xml:space="preserve">INTRUSION INC.  |  NASDAQ: INTZ  |  Plano, TX  |  intrusion.com</w:t>
      </w:r>
      <w:r>
        <w:rPr>
          <w:sz w:val="14"/>
          <w:szCs w:val="14"/>
        </w:rPr>
        <w:t xml:space="preserve">   </w:t>
      </w:r>
      <w:r>
        <w:rPr>
          <w:rFonts w:ascii="Arial" w:cs="Arial" w:eastAsia="Arial" w:hAnsi="Arial"/>
          <w:b/>
          <w:bCs/>
          <w:color w:val="1F34D2"/>
          <w:sz w:val="14"/>
          <w:szCs w:val="14"/>
        </w:rPr>
        <w:t xml:space="preserve">Know More. Miss Less.</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rPr>
        <w:color w:val="D9F800"/>
      </w:r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d90f45cd4aa6825e2cc8dfe39882dba14e370fec.png"/><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2026-05-13T16:42:58.241Z</dcterms:created>
  <dcterms:modified xsi:type="dcterms:W3CDTF">2026-05-13T16:42:58.241Z</dcterms:modified>
</cp:coreProperties>
</file>

<file path=docProps/custom.xml><?xml version="1.0" encoding="utf-8"?>
<Properties xmlns="http://schemas.openxmlformats.org/officeDocument/2006/custom-properties" xmlns:vt="http://schemas.openxmlformats.org/officeDocument/2006/docPropsVTypes"/>
</file>